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A7602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2022/2023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PE000504/2022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26/05/2022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MR023395/2022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13623.101945/2022-86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26/05/2022 </w:t>
                        </w:r>
                      </w:p>
                    </w:tc>
                  </w:tr>
                </w:tbl>
                <w:p w:rsidR="00000000" w:rsidRDefault="000A7602">
                  <w:pPr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  <w:p w:rsidR="00000000" w:rsidRDefault="000A7602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0A7602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TRABALHADORES NO COMERCIO DE MINERIOS E DERIVADOS DE PETROLEO NO ESTADO DE PERNAMBUCO, CNPJ n. 11.516.317/0001-00,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a) por seu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RECIFE PARKING LTDA, CNPJ n. 07.088.405/0001-72, neste ato representado(a) por seu 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por seu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vigência do presente Acordo Coletivo de Trabalho no período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01º de abril de 2022 a 31 de março de 2023 e a data-base da categoria em 01º de abril.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OS TRABALHA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DORES EM ESTACIONAMENTO E GARAGENS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1º de abril de 2022, compensando os aumentos já concedidos, os pisos salariais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mensais dos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serão os seguintes: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1. CAIXAS: R$ 1.484,88 (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um mil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, quatrocentos e oitenta e quatro reais e oitenta e oito centavos).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2. INSPETOR DE TRÂNSITO: R$ 1.287,19 (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um mil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, duzentos e oitenta e sete reais e dezenove centavos).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Para os empregados que recebiam salário superior aos de Caixas,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concederá um reajuste salarial, a partir de 1º de abril de 2022, de 8% (oito por cento), incidente sobre os 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alários percebidos em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31.03.2022.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PAGAMENTO DAS DIFERENÇAS SALARIAS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diferenças salariais oriundas deste Acordo Coletivo de Trabalho poderão ser pagas até o mês seguinte ao do registro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arquivo do mesmo na Superintendência Regional do Trabalho de Pernambuco.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COMPROVANTE DE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assegurada a obrigatoriedade do fornecimento de comprovantes de pagamento ou documentos equivalentes, contendo a identificação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com a discriminação das importâncias pagas, das horas trabalhadas, das comissões e de todos os títulos que compuserem a remuneração, inclusive com o valor do recolhimento do FGTS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bem como os descontos efetuados.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normas referentes a salár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ios, reajustes, pagamentos e critérios para cálculo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SALARIO DO SUBSTITUTO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Enquanto perdurar a substituição que não tenha caráter meramente eventual, assim considerada aquela que ultrapassar de 30 (trinta) dias, fica assegurado ao tr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abalhador substituto igual salário ao do substituído.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EQUIPARAÇÃO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garantido ao trabalhador que exercer a mesma função, salário igual, independente de sexo, nacionalidade, idade e cor, não podendo a mesma Empresa pratica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 salários diferenciados, observando-se o disposto no artigo 461, da CLT.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DO ADICIONAL DE HORAS EXTRAS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remunerará as horas extras prestadas de segunda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-feira a sábado, com acréscimo de 50% (cinqüenta por cento) sobre o valor da hora normal.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ÚNICO: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pagamento das horas extras será efetuado com base no salário vigente no mês de seu efetivo recebimento pelo empregado.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DÉCIMA -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BENEFICIO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fornecerá, a partir de 01 de abril de 2022, a seus empregados 01 (uma) cesta básica, sob a forma de cheque-alimentação, no valor de R$ 694,11 (seiscentos e noventa e quatro reais e onze centavos) para os funcioná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rios supervisores e encarregados; R$ 608,90 (seiscentosa e oito reais e noventa centavos) para os inspetores, Técnicos, Auxiliares em Eletrônica e Manobristas e R$ 573,84 (quinhentos e setenta e trees rerais e oitenta e quatro centavos) para os Caixas e 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Auxiliares de Tráfegos, mediante recibo, podendo a referida obrigação ser cumprida através de ticket-alimentação, cheque-refeição ou espécie, não se admitindo, em nenhuma hipótese, que o benefício seja considerado salário, nem que integre o salário-de-con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tribuição para fins previdenciários, devendo o benefício ser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concedido através do Programa de Alimentação do Trabalhador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PAT, ficando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desobrigada a cumprir esta cláusula se oferecer a seus empregados refeitório, no qual sirva alimentação aos mesm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SEGURA DE VIDA E AUXILIO FUNERAL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arcará com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 contratação de plano de seguro vida coletivo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todos os seus empregados, inclusive, com cláusula que preveja a concessão de auxílio funeral q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ue abranja não só a pessoa do empregado, mas todos os seus dependentes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Admiss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Demiss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ANOTAÇÃO NA CTPS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assegurado que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anotará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 CTPS dos trabalhadores a função efetivamente exercida, a remuneração percebida, os reajustes salariais e todas as demais informações legalmente previstas.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DISPENSA DO EMPREGADO - COMUNICADO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ssegurada ao trabalhador demitido sob a alegação de falta grave, a entrega de aviso no ato demissional, por escrito e contra recibo, com a especificação do motivo da justa causa imputada, com cópia ao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SINDICATO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QUARTA - CONTRATO DE EXPERIENCIA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empregado readmitido na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para a mesma função que desempenhou anteriormente não poderá ser submetido ao contrato de experiência previsto no artigo 455, parágrafo único, da CLT.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QUINTA - FOR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MALIZAÇÃO DE RESCISÃO CONTRATUAL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rescisões contratuais de empregados com mais de 01(um) ano de serviço serão, obrigatoriamente, homologadas no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SINDICATO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nos condições dispostas no art. 477, da CLT.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ÚNICO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Por cada homologação contratual, inde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pendentemente do motivo,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EMPRESA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pagará ao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SINDICATO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valor de R$ 50,00 (cinquenta reais), a título de análise e conferência de documentos.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SULA DÉCIMA SEXTA - ESTABILIDADE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assegurada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às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gestantes a estabilidade no emprego, desde a confirmação da gravidez e até 05 (cinco) meses após o parto;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Aposentadoria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SÉTIMA - GARANTIA AO EMPREGADO PRÉ-APO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SENTADO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trabalhador que contar com 10 (dez) anos de contrato de trabalho, na mesma empresa e que estiver há 01 (um) ano ou menos de adquirir o direito à sua aposentadoria, ainda que proporcional, fica assegurada garantia no emprego até a data da perc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epção do direito, ressalvada a rescisão por justa causa, caso em que não será necessária a instauração de inqüérito judicial.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OITAVA - COMPENSAÇÃ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 DE JORNADA (BANCO DE HORAS)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autorizada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promover a compensação dos horários de trabalho, denominada de Banco de Horas, dos empregados abrangidos por este Acordo Coletivo de Trabalho, na forma do artigo 59 da CLT e respeitadas as seguin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tes regras: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1. O saldo entre o débito e o crédito de horas trabalhadas pelos empregados será apurado mensalmente, tomando-se por referência o período que se estende do dia 12 (doze) de cada mês ao dia 11 (onze) do mês subseqüente.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2. A divulgação do sa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ldo existente no Banco de Horas será realizada mensalmente, através de demonstrativos individuais de pagamento salarial, mediante protocolo.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3. O lançamento das horas levadas a registro no Banco de Horas será realizado em conformidade com os seguintes cr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itérios de proporcionalidade: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3.1 Cada hora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extra trabalhada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segunda-feira a sábado equivalerá a 1,5 h (uma hora e meia), a ser lançada no Banco de Horas e será registrada como HORA TIPO A;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3.2 Cada hora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extra trabalhada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 domingos e feriados equivaler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á a 02 (duas) horas, a serem lançadas no Banco de Horas e serão registradas como HORAS TIPO B;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4. Para a compensação das horas levadas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 registro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Banco de Horas não haverá distinção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entre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dois tipos de horas registradas (TIPO A e TIPO B), pois já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onvertidas nas paridades mencionadas anteriormente;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5. Não será permitida a compensação do saldo devedor de horas do empregado com seus dias de férias;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6. O saldo credor de horas do empregado deverá ser compensado da seguinte forma: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6.1 Preferencialmente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como acréscimo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nos dias de férias concedidas no prazo de vigência do Banco de Horas, independentemente do período aquisitivo a que se referir;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6.2 Em folgas coletivas ou individuais em dias de baixa movimentação na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EMPRESA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6.3 Em reduções da jornada norm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de trabalho ou em licenças do empregado previamente acertadas para tratar de assuntos particulares.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7. A qualquer momento, a critério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EMPRESA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poderá haver a reconversão do saldo credor, total ou parcial, em favor do empregado existente no Banco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Horas e seu respectivo pagamento por ocasião da quitação salarial do mês subseqüente;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8. A reconversão a que se refere o item anterior adotará os mesmos parâmetros de paridade utilizados para o lançamento das horas, os quais foram fixados no item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da 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sente cláusula, quais sejam: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8.1 O saldo de horas TIPO As era convertido para horas extras mediante a divisão por 1,5 (um vírgula cinco) e o resultado apurado em R$ (Reais), aplicando-se o valor da hora normal acrescido do percentual de 50% (cinqüenta por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cento);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8.2 O saldo de horas TIPO B será convertido para horas extras mediante a divisão por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(dois) e o resultado apurado em R$ (Reais), aplicando-se o valor da hora normal acrescido do percentual de 100% (cem por cento);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9. A reconversão do saldo de ho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ras existente no Banco de Horas será obrigatória por ocasião da ruptura contratual e da expiração do prazo desta contratação. O correspondente pagamento será realizado juntamente com os haveres rescisórios, no Termo de Rescisão de Contrato de Trabalho, ou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por ocasião da quitação salarial do mês seguinte, respectivamente, ainda que seja celebrado novo acordo para manutenção dessa sistemática de compensação de horas.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10. Nas hipóteses mencionadas no item anterior, em se verificando débito de horas do emprega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 em relação à EMPRESA, será ele desconsiderado, não podendo ser objeto de desconto nas verbas rescisórias ou nos contracheques mensais, exceto na ocorrência de justa causa, quando o empregador poderá fazer a reconversão e correspondente dedução, utilizan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do-se, para tanto, dos critérios fixados no item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8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desta cláusula;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11. As faltas ao serviço de qualquer natureza (legais, justificadas ou não justificadas) terão o tratamento que a lei as reservar e não serão consideradas para efeito de utilizaçã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de horas a crédito do empregado, não integrando o Banco de Horas;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12. A existência de crédito de horas em favor do empregado não permite nem justifica o seu não atendimento às convocações para o trabalho, hipótese em que a ausência receberá o mesmo trat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amento das faltas normais de trabalho, sendo punível, por conseguinte, em conformidade com a lei vigente.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13. A adoção do Banco de Horas não prejudica os acordos de compensação firmados individualmente com cada empregado, pois integrarão este sistema apen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as horas excedentes a 44 (quarenta e quatro) por semana, para os empregados que têm o horário normal de 08 (oito) horas diárias, e a 36 (trinta e seis) horas por semana, para os empregados que têm o horário normal de 06 (seis) horas diárias.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Intervalo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 para Descanso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FIXAÇÃO DA ESCALA DE 12X36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pactuado que podem ser submetidos à jornada em escala de revezamento de 12hs x 36hs (doze horas por trinta e seis horas) os empregados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abrangidos pelo presente Acordo Coleti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vo de Trabalho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, desde que observadas as seguintes regras: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1. A escala consiste na trabalho por 12 (doze) horas ininterruptas e a conseqüente e imediata folga por 36 (trinta e seis) horas, igualmente de forma ininterrupta;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2. Todas as 12 (doze) horas trab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alhadas neste regime de escala serão remuneradas de forma normal, ainda quando recaiam sobre domingos;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3. Os empregados não poderão ter intervalo intrajornada distinto do previsto no caput do artigo 71 da CLT, sendo certo que na eventualidade de tal fato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correr, o intervalo interjornadas será de 35 (trinta e cinco) horas;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4. Na impossibilidade de concessão do intervalo mencionado no item anterior, será conferido ao empregado submetido à referida escala, mensalmente, enquanto perdurar tal jornada, o pagame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nto das horas extraordinárias relativas ao intervalo de refeição que tenha sido suprimido, ou seja, 15 (quinze) horas extras por mês, resultando, com isso, atendido o disposto no artigo 71, § 4º da CLT, revestindo-se esse pagamento de natureza indenizatóri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a;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5. Consoante o que dispõe o § 2º do artigo 71 da CLT, o intervalo acima mencionado não será computado na duração do trabalho.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FIXAÇÃO DOS INTERVALOS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abrangidos por este Acordo Coletivo de Trabalho que sejam submet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idos à  jornada de 06 (seis) horas ininterruptas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, desfrutarão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intervalo intrajornada referido no § 1º do artigo 71 da CLT, de maneira elastecida, de 30 (trinta) minutos.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ÚNICO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Consoante o que dispõe o § 2º do artigo 71 da CLT, o intervalo acima menc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ionado não será computado na duração do trabalho.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Controle da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CONTROLE DE FRENQUÊNCIA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obriga-se a manter registro do controle de freqüência, cuja jornada deverá ser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anotada pelo próprio trabalhador ou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empregado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especifico que exerça a função de apontador.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AUXÍLIO BABÁ/CRECHE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convenente concederá o auxílio babá/creche a todas suas empregadas representadas pelo sindicato profissional que tenham filhos, inclusive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adotados legalmente, a partir da entrega da Certidão de Nascimento e inscrição do filho como dependente nos registro funcionais, do nascimento até 12 meses de idade, no valor de 15% do salário mínimo, a partir de 01/04/2021, sem efeito retroativo, nos term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da Portaria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MTb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nº 3.296/1986, de 05/09/1986.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valor do custeio da babá creche não integrará a remuneração do empregado para quaisquer efeitos legais.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empregadas que vierem a ser admitidas após a celebração deste ACORDO estarão automaticamente enqua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dradas nas cláusulas contidas neste.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FÉRIAS - CONCESSÃO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estabelecido que o período de concessão de férias não poderá ter início aos sá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bados, domingos e feriados, ou dias compensados.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não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AUSÊNCIA JUSTIFICADA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assegurada a possibilidade de deixar de comparecer a trabalho, sem prejuízo do salário, até 03 (trê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s) dias consecutivos, em caso de falecimento de cônjuge ou descendente de primeiro grau; por 02 (dois) dias consecutivos, no caso de falecimento de ascendentes, sogro ou sogra, irmão ou ainda pessoa que viva sob sua dependência econômica, declarada na CTPS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e ainda até cinco dias consecutivos, no caso de nascimento de filhos e na primeira semana após o nascimento.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Garantias a Diretores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DIRIGENTE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estabelecido que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recon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hecerá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aos dirigentes sindicais que façam parte de seu quadro funcional todos os direitos previstos no artigo 543 da CLT e na Súmula n.° 197 do STF.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COMUNICAÇÃO DE CAT E DA ELEIÇÃO DA CIPA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EMPRESA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fica obrigada a fornecer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ópia, no prazo de 72 horas, de todas as  CAT emitidas pela empresa. Também fica obrigada a Comunicar ao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SINDICATO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data da Eleição da CIPA.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a Informações da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QUADRO DE AVISO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assegurado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exposição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boletins informativos, editais, convocações, nos quadros de avisos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pela entidade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SINDICAL,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para que os trabalhadores estejam permanentemente atualizados em relação aos assuntos de seus interesses.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OITAVA - TAXA NEGOCIAL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Por mera liberalidade a 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EMPRESA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pagará ao 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SINDICATO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para fins de ressarcimento das despesas com,  assistência jurídica e demais insumos, a importância de 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R$ 2.500,00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(dois mil e quinhentos reais) em uma única parcela, com 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ncimento para o dia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31/05/2022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através de depósito bancário junto à Caixa Econômica Federal, agência 0045, operação 003, conta corrente nº 233046-6, de titularidade do Sindicato Obreiro, o SINDICATO se compromete a não cobrar a taxa assistencial dos funcio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nários envolvidos no ACT. 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TAXA ASSOCIATIVA MENSAL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fica obrigada a descontar dos empregados sócios do SINDICATO e repassar, até o décimo dia do mês subsequente do referido desconto, 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referida Entidade Sindical, o respectivo valor mensal de R$ 30,00 (trinta reais), a título de mensalidade sindical, conforme aprovado em AGE.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Único: Fica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assegurado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 SINDICATO, no descumprimento dos recolhimentos preceituados no artigo 545 da CLT, a 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rcepção de multa correspondente a 10% (dez por cento) sobre o valor da contribuição, em favor da entidade sindical, desde que haja a expressa autorização do empregado para a efetivação da mensalidade sindical.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Mecanismos de Solução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SOLUÇÃO 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abrangidos pelo presente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 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Acordo Coletivo de Trabalho, firmado entre 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SINDICATO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 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não serão beneficiários de quaisquer outros Acordos Coletivos ou Convenções Coletivas fi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rmadas pela categoria.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PRIMEIRA - MULTA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Em caso de descumprimento das obrigações de fazer previstas neste Acordo Coletivo de Trabalho, fica estabelecida a multa correspondente a R$ 200,00 (d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uzentos reais) por empregado, que será revertido em favor da entidade sindical.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Para os empregados da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EMPRESA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que não recebem o pagamento de quebra de caixa, é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vedado qualquer desconto nos seus salários, inerente a "diferença de caixa”.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FORO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controvérsias oriundas do presente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 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Acordo Coletivo de Trabalho serão dirimidas pela Justiça do Trabalho, ficando ajustado, porém, que,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antes de qualquer medida judicial, as partes se obrigam a buscar o entendimento e somente submeterá o litígio após o prazo de 30 dias para a sua solução extrajudicial.</w:t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 por estarem justas e acordadas, assinam as partes este instrumento em 03 (três)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 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vias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igual teor e forma, comprometendo-se, consoante disposição do Art. 614 da CLT, a promover o depósito de uma via perante a Superintendência Regional do Trabalho de Pernambuco, para fins de registro e para que surta seus efeitos jurídicos e legais.</w:t>
                  </w:r>
                </w:p>
                <w:p w:rsidR="00000000" w:rsidRDefault="000A7602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0A760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VALMIR JOSE MARINHO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FALCAO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TRABALHADORES NO COMERCIO DE MINERIOS E DERIVADOS DE PETROLEO NO ESTADO DE PERNAMBUCO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RENATA BARBOSA CAVALCANTI VILAR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RECIFE PARKING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LUIS HENRIQUE DE AZEVEDO REMIGIO </w:t>
                        </w:r>
                        <w:r>
                          <w:rPr>
                            <w:rFonts w:eastAsia="Times New Roman"/>
                          </w:rPr>
                          <w:br/>
                          <w:t>Procura</w:t>
                        </w:r>
                        <w:r>
                          <w:rPr>
                            <w:rFonts w:eastAsia="Times New Roman"/>
                          </w:rPr>
                          <w:t xml:space="preserve">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RECIFE PARKING LTDA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0A760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0A7602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0A7602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Ministério da Economia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0A7602">
            <w:pPr>
              <w:rPr>
                <w:rFonts w:eastAsia="Times New Roman"/>
              </w:rPr>
            </w:pPr>
          </w:p>
        </w:tc>
      </w:tr>
    </w:tbl>
    <w:p w:rsidR="000A7602" w:rsidRDefault="000A7602">
      <w:pPr>
        <w:rPr>
          <w:rFonts w:eastAsia="Times New Roman"/>
        </w:rPr>
      </w:pPr>
    </w:p>
    <w:sectPr w:rsidR="000A7602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5319"/>
    <w:rsid w:val="000A7602"/>
    <w:rsid w:val="009F5319"/>
    <w:rsid w:val="00B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23395_20222022_05_23T09_22_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3075</Words>
  <Characters>16609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Acordo Coletivo </vt:lpstr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Sitramico</dc:creator>
  <cp:lastModifiedBy>Sitramico</cp:lastModifiedBy>
  <cp:revision>2</cp:revision>
  <dcterms:created xsi:type="dcterms:W3CDTF">2022-05-27T11:41:00Z</dcterms:created>
  <dcterms:modified xsi:type="dcterms:W3CDTF">2022-05-27T11:41:00Z</dcterms:modified>
</cp:coreProperties>
</file>